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091" w:type="dxa"/>
        <w:tblCellSpacing w:w="0" w:type="dxa"/>
        <w:tblInd w:w="-601" w:type="dxa"/>
        <w:shd w:val="clear" w:color="auto" w:fill="FFFFFF"/>
        <w:tblCellMar>
          <w:left w:w="0" w:type="dxa"/>
          <w:right w:w="0" w:type="dxa"/>
        </w:tblCellMar>
        <w:tblLook w:val="04A0" w:firstRow="1" w:lastRow="0" w:firstColumn="1" w:lastColumn="0" w:noHBand="0" w:noVBand="1"/>
      </w:tblPr>
      <w:tblGrid>
        <w:gridCol w:w="4962"/>
        <w:gridCol w:w="6129"/>
      </w:tblGrid>
      <w:tr w:rsidR="00E55082" w:rsidRPr="00E55082" w:rsidTr="00AD1D5D">
        <w:trPr>
          <w:tblCellSpacing w:w="0" w:type="dxa"/>
        </w:trPr>
        <w:tc>
          <w:tcPr>
            <w:tcW w:w="4962" w:type="dxa"/>
            <w:shd w:val="clear" w:color="auto" w:fill="FFFFFF"/>
            <w:tcMar>
              <w:top w:w="0" w:type="dxa"/>
              <w:left w:w="108" w:type="dxa"/>
              <w:bottom w:w="0" w:type="dxa"/>
              <w:right w:w="108" w:type="dxa"/>
            </w:tcMar>
            <w:hideMark/>
          </w:tcPr>
          <w:p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b/>
                <w:bCs/>
                <w:color w:val="000000"/>
                <w:szCs w:val="28"/>
              </w:rPr>
              <w:t>BAN CHẤP HÀNH TRUNG ƯƠNG</w:t>
            </w:r>
            <w:r w:rsidRPr="00E55082">
              <w:rPr>
                <w:rFonts w:eastAsia="Times New Roman" w:cs="Times New Roman"/>
                <w:b/>
                <w:bCs/>
                <w:color w:val="000000"/>
                <w:szCs w:val="28"/>
              </w:rPr>
              <w:br/>
              <w:t>--------</w:t>
            </w:r>
          </w:p>
        </w:tc>
        <w:tc>
          <w:tcPr>
            <w:tcW w:w="6129" w:type="dxa"/>
            <w:shd w:val="clear" w:color="auto" w:fill="FFFFFF"/>
            <w:tcMar>
              <w:top w:w="0" w:type="dxa"/>
              <w:left w:w="108" w:type="dxa"/>
              <w:bottom w:w="0" w:type="dxa"/>
              <w:right w:w="108" w:type="dxa"/>
            </w:tcMar>
            <w:hideMark/>
          </w:tcPr>
          <w:p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b/>
                <w:bCs/>
                <w:color w:val="000000"/>
                <w:szCs w:val="28"/>
              </w:rPr>
              <w:t>ĐẢNG CỘNG SẢN VIỆT NAM</w:t>
            </w:r>
            <w:r w:rsidRPr="00E55082">
              <w:rPr>
                <w:rFonts w:eastAsia="Times New Roman" w:cs="Times New Roman"/>
                <w:b/>
                <w:bCs/>
                <w:color w:val="000000"/>
                <w:szCs w:val="28"/>
              </w:rPr>
              <w:br/>
              <w:t>----------------</w:t>
            </w:r>
          </w:p>
        </w:tc>
      </w:tr>
      <w:tr w:rsidR="00E55082" w:rsidRPr="00E55082" w:rsidTr="00AD1D5D">
        <w:trPr>
          <w:tblCellSpacing w:w="0" w:type="dxa"/>
        </w:trPr>
        <w:tc>
          <w:tcPr>
            <w:tcW w:w="4962" w:type="dxa"/>
            <w:shd w:val="clear" w:color="auto" w:fill="FFFFFF"/>
            <w:tcMar>
              <w:top w:w="0" w:type="dxa"/>
              <w:left w:w="108" w:type="dxa"/>
              <w:bottom w:w="0" w:type="dxa"/>
              <w:right w:w="108" w:type="dxa"/>
            </w:tcMar>
            <w:hideMark/>
          </w:tcPr>
          <w:p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color w:val="000000"/>
                <w:szCs w:val="28"/>
              </w:rPr>
              <w:t>Số: 11-CT/TW</w:t>
            </w:r>
          </w:p>
        </w:tc>
        <w:tc>
          <w:tcPr>
            <w:tcW w:w="6129" w:type="dxa"/>
            <w:shd w:val="clear" w:color="auto" w:fill="FFFFFF"/>
            <w:tcMar>
              <w:top w:w="0" w:type="dxa"/>
              <w:left w:w="108" w:type="dxa"/>
              <w:bottom w:w="0" w:type="dxa"/>
              <w:right w:w="108" w:type="dxa"/>
            </w:tcMar>
            <w:hideMark/>
          </w:tcPr>
          <w:p w:rsidR="00E55082" w:rsidRPr="00E55082" w:rsidRDefault="00E55082" w:rsidP="00E55082">
            <w:pPr>
              <w:spacing w:after="120" w:line="234" w:lineRule="atLeast"/>
              <w:jc w:val="center"/>
              <w:rPr>
                <w:rFonts w:eastAsia="Times New Roman" w:cs="Times New Roman"/>
                <w:color w:val="000000"/>
                <w:szCs w:val="28"/>
              </w:rPr>
            </w:pPr>
            <w:r w:rsidRPr="00E55082">
              <w:rPr>
                <w:rFonts w:eastAsia="Times New Roman" w:cs="Times New Roman"/>
                <w:i/>
                <w:iCs/>
                <w:color w:val="000000"/>
                <w:szCs w:val="28"/>
              </w:rPr>
              <w:t>Hà Nội, ngày 13 tháng 4 năm 2007</w:t>
            </w:r>
          </w:p>
        </w:tc>
      </w:tr>
    </w:tbl>
    <w:p w:rsidR="00E55082" w:rsidRPr="00E55082" w:rsidRDefault="00E55082" w:rsidP="00E55082">
      <w:pPr>
        <w:shd w:val="clear" w:color="auto" w:fill="FFFFFF"/>
        <w:spacing w:after="120" w:line="234" w:lineRule="atLeast"/>
        <w:jc w:val="center"/>
        <w:rPr>
          <w:rFonts w:eastAsia="Times New Roman" w:cs="Times New Roman"/>
          <w:color w:val="000000"/>
          <w:szCs w:val="28"/>
        </w:rPr>
      </w:pPr>
    </w:p>
    <w:p w:rsidR="00E55082" w:rsidRPr="00E55082" w:rsidRDefault="00E55082" w:rsidP="00217F32">
      <w:pPr>
        <w:shd w:val="clear" w:color="auto" w:fill="FFFFFF"/>
        <w:spacing w:after="0" w:line="240" w:lineRule="auto"/>
        <w:jc w:val="center"/>
        <w:rPr>
          <w:rFonts w:eastAsia="Times New Roman" w:cs="Times New Roman"/>
          <w:color w:val="000000"/>
          <w:szCs w:val="28"/>
        </w:rPr>
      </w:pPr>
      <w:r w:rsidRPr="00E55082">
        <w:rPr>
          <w:rFonts w:eastAsia="Times New Roman" w:cs="Times New Roman"/>
          <w:b/>
          <w:bCs/>
          <w:color w:val="000000"/>
          <w:szCs w:val="28"/>
        </w:rPr>
        <w:t>CHỈ THỊ</w:t>
      </w:r>
      <w:r w:rsidRPr="00E55082">
        <w:rPr>
          <w:rFonts w:eastAsia="Times New Roman" w:cs="Times New Roman"/>
          <w:b/>
          <w:bCs/>
          <w:color w:val="000000"/>
          <w:szCs w:val="28"/>
        </w:rPr>
        <w:br/>
        <w:t>CỦA BỘ CHÍNH TRỊ</w:t>
      </w:r>
    </w:p>
    <w:p w:rsidR="00E55082" w:rsidRDefault="00217F32" w:rsidP="00217F32">
      <w:pPr>
        <w:shd w:val="clear" w:color="auto" w:fill="FFFFFF"/>
        <w:spacing w:after="0" w:line="240" w:lineRule="auto"/>
        <w:jc w:val="center"/>
        <w:rPr>
          <w:rFonts w:eastAsia="Times New Roman" w:cs="Times New Roman"/>
          <w:b/>
          <w:color w:val="000000"/>
          <w:szCs w:val="28"/>
        </w:rPr>
      </w:pPr>
      <w:r>
        <w:rPr>
          <w:rFonts w:eastAsia="Times New Roman" w:cs="Times New Roman"/>
          <w:b/>
          <w:noProof/>
          <w:color w:val="000000"/>
          <w:szCs w:val="28"/>
        </w:rPr>
        <w:pict>
          <v:shapetype id="_x0000_t32" coordsize="21600,21600" o:spt="32" o:oned="t" path="m,l21600,21600e" filled="f">
            <v:path arrowok="t" fillok="f" o:connecttype="none"/>
            <o:lock v:ext="edit" shapetype="t"/>
          </v:shapetype>
          <v:shape id="_x0000_s1027" type="#_x0000_t32" style="position:absolute;left:0;text-align:left;margin-left:134.7pt;margin-top:35.7pt;width:3in;height:0;z-index:251658240" o:connectortype="straight"/>
        </w:pict>
      </w:r>
      <w:r w:rsidR="00E55082" w:rsidRPr="00207103">
        <w:rPr>
          <w:rFonts w:eastAsia="Times New Roman" w:cs="Times New Roman"/>
          <w:b/>
          <w:color w:val="000000"/>
          <w:szCs w:val="28"/>
        </w:rPr>
        <w:t>VỀ TĂNG CƯỜNG LÃNH ĐẠO CỦA ĐẢNG ĐỐI VỚI CÔNG TÁC KHUYẾN HỌC, KHUYẾN TÀI, XÂY DỰNG XÃ HỘI HỌC TẬP</w:t>
      </w:r>
    </w:p>
    <w:p w:rsidR="00207103" w:rsidRPr="00207103" w:rsidRDefault="00207103" w:rsidP="00E55082">
      <w:pPr>
        <w:shd w:val="clear" w:color="auto" w:fill="FFFFFF"/>
        <w:spacing w:after="120" w:line="234" w:lineRule="atLeast"/>
        <w:jc w:val="center"/>
        <w:rPr>
          <w:rFonts w:eastAsia="Times New Roman" w:cs="Times New Roman"/>
          <w:b/>
          <w:color w:val="000000"/>
          <w:szCs w:val="28"/>
        </w:rPr>
      </w:pP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Thực hiện Nghị quyết Đại hội lần thứ IX của Đảng, Nghị quyết Hội nghị lần thứ bảy Ban Chấp hành Trung ương (khoá IX) về xây dựng cả nước trở thành một xã hội học tập, Chỉ thị 50-CT/TW của Bộ Chính trị (khoá VIII) về tăng cường sự lãnh đạo của Đảng đối với Hội Khuyến học Việt Nam; những năm qua, tổ chức đảng các cấp đã có nhiều chủ trương, biện pháp chỉ đạo phát triển sự nghiệp giáo dục và đào tạo, động viên nhân dân tham gia học tập. </w:t>
      </w:r>
      <w:proofErr w:type="gramStart"/>
      <w:r w:rsidRPr="00E55082">
        <w:rPr>
          <w:rFonts w:eastAsia="Times New Roman" w:cs="Times New Roman"/>
          <w:color w:val="000000"/>
          <w:szCs w:val="28"/>
        </w:rPr>
        <w:t>Phong trào thi đua xây dựng gia đình hiếu học được đẩy mạnh, hàng nghìn trung tâm học tập cộng đồng ở xã, phường, thị trấn được xây dựng và đi vào hoạt động.</w:t>
      </w:r>
      <w:proofErr w:type="gramEnd"/>
      <w:r w:rsidRPr="00E55082">
        <w:rPr>
          <w:rFonts w:eastAsia="Times New Roman" w:cs="Times New Roman"/>
          <w:color w:val="000000"/>
          <w:szCs w:val="28"/>
        </w:rPr>
        <w:t xml:space="preserve"> Việc phát huy vai trò của các lực lượng trong xã hội tham gia khuyến học, khuyến tài, thực hiện chủ trương xã hội hoá giáo dục ngày càng hiệu quả, </w:t>
      </w:r>
      <w:proofErr w:type="gramStart"/>
      <w:r w:rsidRPr="00E55082">
        <w:rPr>
          <w:rFonts w:eastAsia="Times New Roman" w:cs="Times New Roman"/>
          <w:color w:val="000000"/>
          <w:szCs w:val="28"/>
        </w:rPr>
        <w:t>thu</w:t>
      </w:r>
      <w:proofErr w:type="gramEnd"/>
      <w:r w:rsidRPr="00E55082">
        <w:rPr>
          <w:rFonts w:eastAsia="Times New Roman" w:cs="Times New Roman"/>
          <w:color w:val="000000"/>
          <w:szCs w:val="28"/>
        </w:rPr>
        <w:t xml:space="preserve"> hút đông đảo các tầng lớp nhân dân tham gia. </w:t>
      </w:r>
      <w:proofErr w:type="gramStart"/>
      <w:r w:rsidRPr="00E55082">
        <w:rPr>
          <w:rFonts w:eastAsia="Times New Roman" w:cs="Times New Roman"/>
          <w:color w:val="000000"/>
          <w:szCs w:val="28"/>
        </w:rPr>
        <w:t>Hội Khuyến học Việt Nam đã phát triển rộng khắp trên cả nước, hoạt động đạt nhiều kết quả tốt.</w:t>
      </w:r>
      <w:proofErr w:type="gramEnd"/>
      <w:r w:rsidRPr="00E55082">
        <w:rPr>
          <w:rFonts w:eastAsia="Times New Roman" w:cs="Times New Roman"/>
          <w:color w:val="000000"/>
          <w:szCs w:val="28"/>
        </w:rPr>
        <w:t xml:space="preserve"> </w:t>
      </w:r>
      <w:proofErr w:type="gramStart"/>
      <w:r w:rsidRPr="00E55082">
        <w:rPr>
          <w:rFonts w:eastAsia="Times New Roman" w:cs="Times New Roman"/>
          <w:color w:val="000000"/>
          <w:szCs w:val="28"/>
        </w:rPr>
        <w:t>Đây là những tiền đề quan trọng để thúc đẩy cuộc vận động xây dựng xã hội học tập trong thời kỳ mới.</w:t>
      </w:r>
      <w:proofErr w:type="gramEnd"/>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proofErr w:type="gramStart"/>
      <w:r w:rsidRPr="00E55082">
        <w:rPr>
          <w:rFonts w:eastAsia="Times New Roman" w:cs="Times New Roman"/>
          <w:color w:val="000000"/>
          <w:szCs w:val="28"/>
        </w:rPr>
        <w:t>Tuy nhiên, những kết quả đạt được mới chỉ là bước đầu.</w:t>
      </w:r>
      <w:proofErr w:type="gramEnd"/>
      <w:r w:rsidRPr="00E55082">
        <w:rPr>
          <w:rFonts w:eastAsia="Times New Roman" w:cs="Times New Roman"/>
          <w:color w:val="000000"/>
          <w:szCs w:val="28"/>
        </w:rPr>
        <w:t xml:space="preserve"> Nhận thức của nhiều cấp uỷ đảng, cán bộ, đảng viên và nhân dân về sự cần thiết, tầm quan trọng của công tác khuyến học, khuyến tài, xây dựng xã hội học tập trong thời kỳ mới chưa thật sự đầy đủ; một số cấp uỷ đảng chưa chỉ đạo chính quyền, đoàn thể phối hợp thực hiện; hoạt động ở một số nơi còn mang tính hình thức; phong trào phát triển không đồng đều, triển khai còn lúng túng, hiệu quả thấp; cán bộ chuyên trách chưa đáp ứng yêu cầu; việc huy động các nguồn lực của xã hội thông qua các chủ trương, biện pháp tuyên truyền, vận động thực hiện xã hội hoá để mọi người tham gia hoạt động khuyến học, khuyến tài, xây dựng xã hội học tập còn hạn chế; cơ chế, chính sách và hành lang pháp lý cho công tác này chậm được ban hành...</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Quán triệt Nghị quyết Đại hội đại biểu toàn quốc lần thứ X của Đảng về ''chuyển dần mô hình giáo dục hiện nay sang mô hình giáo dục mở - mô hình xã hội học tập'' và tư tưởng Hồ Chí Minh về học tập suốt đời, nhằm nâng cao dân trí, phát triển nguồn nhân lực, đào tạo nhân tài, phục vụ sự nghiệp công nghiệp hoá, hiện đại </w:t>
      </w:r>
      <w:r w:rsidRPr="00E55082">
        <w:rPr>
          <w:rFonts w:eastAsia="Times New Roman" w:cs="Times New Roman"/>
          <w:color w:val="000000"/>
          <w:szCs w:val="28"/>
        </w:rPr>
        <w:lastRenderedPageBreak/>
        <w:t>hoá đất nước, nhất là trong bối cảnh nước ta hội nhập ngày càng sâu rộng vào nền kinh tế thế giới, Bộ Chính trị yêu cầu các cấp uỷ đảng tăng cường sự lãnh đạo, chỉ đạo công tác khuyến học, khuyến tài, xây dựng xã hội học tập trong thời gian tới, tập trung thực hiện một số nội dung cơ bản sau đây:</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l- Đẩy mạnh công tác tuyên truyền, giáo dục trong Đảng và nhân dân với nhiều hình thức phong phú, thiết thực để nhận thức rõ về sự cần thiết, tầm quan trọng của việc xây dựng xã hội học tập ở nước ta hiện nay; xác định xây dựng xã hội học tập là nhiệm vụ của toàn Đảng, toàn dân, là một mục tiêu cơ bản trong chiến lược chấn hưng và phát triển giáo dục của nước ta.</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2- Cụ thể hoá các mục tiêu, nhiệm vụ, giải pháp xây dựng xã hội học tập trong phạm </w:t>
      </w:r>
      <w:proofErr w:type="gramStart"/>
      <w:r w:rsidRPr="00E55082">
        <w:rPr>
          <w:rFonts w:eastAsia="Times New Roman" w:cs="Times New Roman"/>
          <w:color w:val="000000"/>
          <w:szCs w:val="28"/>
        </w:rPr>
        <w:t>vi</w:t>
      </w:r>
      <w:proofErr w:type="gramEnd"/>
      <w:r w:rsidRPr="00E55082">
        <w:rPr>
          <w:rFonts w:eastAsia="Times New Roman" w:cs="Times New Roman"/>
          <w:color w:val="000000"/>
          <w:szCs w:val="28"/>
        </w:rPr>
        <w:t xml:space="preserve"> từng địa phương, đơn vị. Trước mắt rà soát, bổ sung nội dung kế hoạch thực hiện các mục tiêu, nhiệm vụ trong ''Đề </w:t>
      </w:r>
      <w:proofErr w:type="gramStart"/>
      <w:r w:rsidRPr="00E55082">
        <w:rPr>
          <w:rFonts w:eastAsia="Times New Roman" w:cs="Times New Roman"/>
          <w:color w:val="000000"/>
          <w:szCs w:val="28"/>
        </w:rPr>
        <w:t>án</w:t>
      </w:r>
      <w:proofErr w:type="gramEnd"/>
      <w:r w:rsidRPr="00E55082">
        <w:rPr>
          <w:rFonts w:eastAsia="Times New Roman" w:cs="Times New Roman"/>
          <w:color w:val="000000"/>
          <w:szCs w:val="28"/>
        </w:rPr>
        <w:t xml:space="preserve"> xây dựng xã hội học tập giai đoạn 2005 - 2010'' mà Chính phủ đã ban hành. Thường xuyên </w:t>
      </w:r>
      <w:proofErr w:type="gramStart"/>
      <w:r w:rsidRPr="00E55082">
        <w:rPr>
          <w:rFonts w:eastAsia="Times New Roman" w:cs="Times New Roman"/>
          <w:color w:val="000000"/>
          <w:szCs w:val="28"/>
        </w:rPr>
        <w:t>theo</w:t>
      </w:r>
      <w:proofErr w:type="gramEnd"/>
      <w:r w:rsidRPr="00E55082">
        <w:rPr>
          <w:rFonts w:eastAsia="Times New Roman" w:cs="Times New Roman"/>
          <w:color w:val="000000"/>
          <w:szCs w:val="28"/>
        </w:rPr>
        <w:t xml:space="preserve"> dõi, đôn đốc, kiểm tra, chỉ đạo giải quyết kịp thời các khó khăn, vướng mắc trong quá trình thực hiện.</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3- Mở rộng và nâng cao chất lượng phong trào khuyến học, khuyến tài, góp phần hỗ trợ các cơ sở giáo dục trong giảng dạy và học tập; xây dựng gia đình hiếu học; cộng đồng, dòng họ, cơ quan, doanh nghiệp, đơn vị khuyến học. Tiếp tục đẩy mạnh xây dựng các trung tâm học tập cộng đồng ở xã, phường, thị trấn; phát triển nhiều loại hình học tập đa dạng, phù hợp với điều kiện và nhu cầu học tập của cán bộ, nhân dân từng địa phương, đơn vị.</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proofErr w:type="gramStart"/>
      <w:r w:rsidRPr="00E55082">
        <w:rPr>
          <w:rFonts w:eastAsia="Times New Roman" w:cs="Times New Roman"/>
          <w:color w:val="000000"/>
          <w:szCs w:val="28"/>
        </w:rPr>
        <w:t>Chú trọng và kịp thời phát hiện, có chính sách cụ thể để bồi dưỡng nhân tài, nhất là tài năng trẻ trên các lĩnh vực.</w:t>
      </w:r>
      <w:proofErr w:type="gramEnd"/>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proofErr w:type="gramStart"/>
      <w:r w:rsidRPr="00E55082">
        <w:rPr>
          <w:rFonts w:eastAsia="Times New Roman" w:cs="Times New Roman"/>
          <w:color w:val="000000"/>
          <w:szCs w:val="28"/>
        </w:rPr>
        <w:t>Vận động nhân dân tích cực học tập nâng cao dân trí, nghề nghiệp, chuyên môn nhằm tăng năng lực sản xuất, chất lượng công việc, chất lượng cuộc sống.</w:t>
      </w:r>
      <w:proofErr w:type="gramEnd"/>
      <w:r w:rsidRPr="00E55082">
        <w:rPr>
          <w:rFonts w:eastAsia="Times New Roman" w:cs="Times New Roman"/>
          <w:color w:val="000000"/>
          <w:szCs w:val="28"/>
        </w:rPr>
        <w:t xml:space="preserve"> Gắn việc phát triển phong trào khuyến học, khuyến tài với xây dựng môi trường giáo dục lành mạnh, học đi đôi với hành, với phong trào làm kinh tế giỏi, xoá đói, giảm nghèo và xây dựng đời sống văn hoá ở cơ sở.</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Chỉ đạo nghiên cứu, tổng kết, rút kinh nghiệm và có hình thức khen thưởng, tuyên dương, nhân rộng các mô hình hay, hiệu quả trong việc triển khai thực hiện phong trào khuyến học, xây dựng xã hội học tập ở các địa phương, đơn vị.</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4- Củng cố, xây dựng Hội Khuyến học các cấp vững mạnh, lành nòng cốt trong việc liên kết, phối hợp với các tổ chức, các lực lượng xã hội tham gia hoạt động khuyến học, khuyến tài, xây dựng xã hội học tập. Các tổ chức chính trị, tổ chức chính trị - xã hội, tổ chức xã hội, nghề nghiệp, các cơ quan, đơn vị lực lượng vũ trang, </w:t>
      </w:r>
      <w:r w:rsidRPr="00E55082">
        <w:rPr>
          <w:rFonts w:eastAsia="Times New Roman" w:cs="Times New Roman"/>
          <w:color w:val="000000"/>
          <w:szCs w:val="28"/>
        </w:rPr>
        <w:lastRenderedPageBreak/>
        <w:t>doanh nghiệp tích cực, chủ động tổ chức các hoạt động khuyến học, khuyến tài, xây dựng xã hội học tập theo tinh thần xã hội hoá giáo dục.</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5- Ban cán sự đảng Chính phủ, các bộ, ngành, uỷ ban nhân dân các cấp trong phạm vi quyền hạn và nhiệm vụ của mình khẩn trương chỉ đạo việc xây dựng, ban hành các chủ trương, chính sách, kế hoạch triển khai thực hiện ''Đề án xây dựng xã hội học tập giai đoạn 2005 - 2010'' của Chính phủ, nhất là các chủ trương, chính sách bảo đảm phát triển hệ thống giáo dục thường xuyên, tổ chức dạy nghề ở các quận, huyện, tạo điều kiện cho hoạt động của các trung tâm học tập cộng đồng ở xã, phường, thị trấn; có biện pháp tích cực, nội dung cụ thể giúp các tỉnh miền núi, vùng sâu, vùng xa, những địa phương có khó khăn trong việc triển khai xây dựng xã hội học tập. Ban hành cơ chế giao cho hội khuyến học các cấp thực hiện nhiệm vụ triển khai phong trào khuyến học, khuyến tài, nghiên cứu xây dựng mô hình xã hội học tập; quan tâm, tạo điều kiện thuận lợi về chế độ, chính sách, tổ chức bộ máy, kinh phí hoạt động của hội khuyến học các cấp theo các quy định hiện hành của Nhà nước.</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Ban cán sự đảng Bộ Giáo dục và Đào tạo, Trung ương Hội Khuyến học Việt Nam tăng cường các hoạt động phối hợp thực hiện các mục tiêu, nhiệm vụ của công tác khuyến học, khuyến tài, xây dựng xã hội học tập.</w:t>
      </w:r>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proofErr w:type="gramStart"/>
      <w:r w:rsidRPr="00E55082">
        <w:rPr>
          <w:rFonts w:eastAsia="Times New Roman" w:cs="Times New Roman"/>
          <w:color w:val="000000"/>
          <w:szCs w:val="28"/>
        </w:rPr>
        <w:t>Các cơ quan thông tin đại chúng thường xuyên tuyên truyền công tác khuyến học, khuyến tài, xây dựng xã hội học tập và các cá nhân, tập thể có thành tích trong công tác này.</w:t>
      </w:r>
      <w:proofErr w:type="gramEnd"/>
    </w:p>
    <w:p w:rsidR="00E55082" w:rsidRPr="00E55082" w:rsidRDefault="00E55082" w:rsidP="00217F32">
      <w:pPr>
        <w:shd w:val="clear" w:color="auto" w:fill="FFFFFF"/>
        <w:spacing w:before="120" w:after="120" w:line="360" w:lineRule="exact"/>
        <w:ind w:firstLine="720"/>
        <w:jc w:val="both"/>
        <w:rPr>
          <w:rFonts w:eastAsia="Times New Roman" w:cs="Times New Roman"/>
          <w:color w:val="000000"/>
          <w:szCs w:val="28"/>
        </w:rPr>
      </w:pPr>
      <w:r w:rsidRPr="00E55082">
        <w:rPr>
          <w:rFonts w:eastAsia="Times New Roman" w:cs="Times New Roman"/>
          <w:color w:val="000000"/>
          <w:szCs w:val="28"/>
        </w:rPr>
        <w:t xml:space="preserve">6- Ban Tuyên giáo Trung ương, ban tuyên giáo các địa phương chủ trì, phối hợp với ban dân vận cùng cấp giúp cấp uỷ </w:t>
      </w:r>
      <w:proofErr w:type="gramStart"/>
      <w:r w:rsidRPr="00E55082">
        <w:rPr>
          <w:rFonts w:eastAsia="Times New Roman" w:cs="Times New Roman"/>
          <w:color w:val="000000"/>
          <w:szCs w:val="28"/>
        </w:rPr>
        <w:t>theo</w:t>
      </w:r>
      <w:proofErr w:type="gramEnd"/>
      <w:r w:rsidRPr="00E55082">
        <w:rPr>
          <w:rFonts w:eastAsia="Times New Roman" w:cs="Times New Roman"/>
          <w:color w:val="000000"/>
          <w:szCs w:val="28"/>
        </w:rPr>
        <w:t xml:space="preserve"> dõi, hướng dẫn, chỉ đạo việc thực hiện Chỉ thị này. Hằng năm, báo cáo Bộ Chính trị, Ban Bí </w:t>
      </w:r>
      <w:proofErr w:type="gramStart"/>
      <w:r w:rsidRPr="00E55082">
        <w:rPr>
          <w:rFonts w:eastAsia="Times New Roman" w:cs="Times New Roman"/>
          <w:color w:val="000000"/>
          <w:szCs w:val="28"/>
        </w:rPr>
        <w:t>thư</w:t>
      </w:r>
      <w:proofErr w:type="gramEnd"/>
      <w:r w:rsidRPr="00E55082">
        <w:rPr>
          <w:rFonts w:eastAsia="Times New Roman" w:cs="Times New Roman"/>
          <w:color w:val="000000"/>
          <w:szCs w:val="28"/>
        </w:rPr>
        <w:t xml:space="preserve"> (ở địa phương báo cáo thường vụ cấp uỷ đảng) về kết quả thực hiện.</w:t>
      </w:r>
    </w:p>
    <w:p w:rsidR="00E55082" w:rsidRDefault="00E55082" w:rsidP="00217F32">
      <w:pPr>
        <w:shd w:val="clear" w:color="auto" w:fill="FFFFFF"/>
        <w:spacing w:before="120" w:after="120" w:line="360" w:lineRule="exact"/>
        <w:jc w:val="both"/>
        <w:rPr>
          <w:rFonts w:eastAsia="Times New Roman" w:cs="Times New Roman"/>
          <w:color w:val="000000"/>
          <w:szCs w:val="28"/>
        </w:rPr>
      </w:pPr>
      <w:proofErr w:type="gramStart"/>
      <w:r w:rsidRPr="00E55082">
        <w:rPr>
          <w:rFonts w:eastAsia="Times New Roman" w:cs="Times New Roman"/>
          <w:color w:val="000000"/>
          <w:szCs w:val="28"/>
        </w:rPr>
        <w:t>Chỉ thị này phổ biến đến chi bộ.</w:t>
      </w:r>
      <w:proofErr w:type="gramEnd"/>
    </w:p>
    <w:tbl>
      <w:tblPr>
        <w:tblStyle w:val="TableGrid"/>
        <w:tblW w:w="9889" w:type="dxa"/>
        <w:tblLook w:val="04A0" w:firstRow="1" w:lastRow="0" w:firstColumn="1" w:lastColumn="0" w:noHBand="0" w:noVBand="1"/>
      </w:tblPr>
      <w:tblGrid>
        <w:gridCol w:w="4810"/>
        <w:gridCol w:w="4811"/>
        <w:gridCol w:w="268"/>
      </w:tblGrid>
      <w:tr w:rsidR="00E55082" w:rsidTr="00AD1D5D">
        <w:tc>
          <w:tcPr>
            <w:tcW w:w="4810" w:type="dxa"/>
            <w:tcBorders>
              <w:top w:val="nil"/>
              <w:left w:val="nil"/>
              <w:bottom w:val="nil"/>
              <w:right w:val="nil"/>
            </w:tcBorders>
          </w:tcPr>
          <w:p w:rsidR="00E55082" w:rsidRPr="00AD1D5D" w:rsidRDefault="00E55082" w:rsidP="00217F32">
            <w:pPr>
              <w:rPr>
                <w:rFonts w:eastAsia="Times New Roman" w:cs="Times New Roman"/>
                <w:color w:val="000000"/>
                <w:sz w:val="24"/>
                <w:szCs w:val="24"/>
              </w:rPr>
            </w:pPr>
            <w:r w:rsidRPr="00E55082">
              <w:rPr>
                <w:rFonts w:eastAsia="Times New Roman" w:cs="Times New Roman"/>
                <w:b/>
                <w:bCs/>
                <w:i/>
                <w:iCs/>
                <w:color w:val="000000"/>
                <w:sz w:val="24"/>
                <w:szCs w:val="24"/>
              </w:rPr>
              <w:t>Nơi nhận</w:t>
            </w:r>
            <w:proofErr w:type="gramStart"/>
            <w:r w:rsidRPr="00E55082">
              <w:rPr>
                <w:rFonts w:eastAsia="Times New Roman" w:cs="Times New Roman"/>
                <w:b/>
                <w:bCs/>
                <w:i/>
                <w:iCs/>
                <w:color w:val="000000"/>
                <w:sz w:val="24"/>
                <w:szCs w:val="24"/>
              </w:rPr>
              <w:t>:</w:t>
            </w:r>
            <w:proofErr w:type="gramEnd"/>
            <w:r w:rsidRPr="00E55082">
              <w:rPr>
                <w:rFonts w:eastAsia="Times New Roman" w:cs="Times New Roman"/>
                <w:b/>
                <w:bCs/>
                <w:i/>
                <w:iCs/>
                <w:color w:val="000000"/>
                <w:sz w:val="24"/>
                <w:szCs w:val="24"/>
              </w:rPr>
              <w:br/>
            </w:r>
            <w:r w:rsidRPr="00E55082">
              <w:rPr>
                <w:rFonts w:eastAsia="Times New Roman" w:cs="Times New Roman"/>
                <w:color w:val="000000"/>
                <w:sz w:val="24"/>
                <w:szCs w:val="24"/>
              </w:rPr>
              <w:t>- Các tỉnh uỷ, thành uỷ</w:t>
            </w:r>
            <w:r w:rsidRPr="00E55082">
              <w:rPr>
                <w:rFonts w:eastAsia="Times New Roman" w:cs="Times New Roman"/>
                <w:color w:val="000000"/>
                <w:sz w:val="24"/>
                <w:szCs w:val="24"/>
              </w:rPr>
              <w:br/>
              <w:t>- Các ban đảng, ban cán sự đảng, đảng đoàn, đảng uỷ trực thuộc trung ương.</w:t>
            </w:r>
            <w:r w:rsidRPr="00E55082">
              <w:rPr>
                <w:rFonts w:eastAsia="Times New Roman" w:cs="Times New Roman"/>
                <w:color w:val="000000"/>
                <w:sz w:val="24"/>
                <w:szCs w:val="24"/>
              </w:rPr>
              <w:br/>
              <w:t>- Các đồng chí uỷ viên ban chấp hành trung ương</w:t>
            </w:r>
            <w:r w:rsidRPr="00E55082">
              <w:rPr>
                <w:rFonts w:eastAsia="Times New Roman" w:cs="Times New Roman"/>
                <w:color w:val="000000"/>
                <w:sz w:val="24"/>
                <w:szCs w:val="24"/>
              </w:rPr>
              <w:br/>
              <w:t>- Lưu văn phòng trung ương</w:t>
            </w:r>
          </w:p>
        </w:tc>
        <w:tc>
          <w:tcPr>
            <w:tcW w:w="4811" w:type="dxa"/>
            <w:tcBorders>
              <w:top w:val="nil"/>
              <w:left w:val="nil"/>
              <w:bottom w:val="nil"/>
              <w:right w:val="nil"/>
            </w:tcBorders>
          </w:tcPr>
          <w:p w:rsidR="00E55082" w:rsidRPr="00E55082" w:rsidRDefault="00E55082" w:rsidP="00AB249C">
            <w:pPr>
              <w:spacing w:after="120" w:line="234" w:lineRule="atLeast"/>
              <w:jc w:val="center"/>
              <w:rPr>
                <w:rFonts w:eastAsia="Times New Roman" w:cs="Times New Roman"/>
                <w:color w:val="000000"/>
                <w:szCs w:val="28"/>
              </w:rPr>
            </w:pPr>
            <w:r w:rsidRPr="00E55082">
              <w:rPr>
                <w:rFonts w:eastAsia="Times New Roman" w:cs="Times New Roman"/>
                <w:b/>
                <w:bCs/>
                <w:color w:val="000000"/>
                <w:szCs w:val="28"/>
              </w:rPr>
              <w:t>T/M BỘ CHÍNH TRỊ</w:t>
            </w:r>
            <w:r w:rsidRPr="00E55082">
              <w:rPr>
                <w:rFonts w:eastAsia="Times New Roman" w:cs="Times New Roman"/>
                <w:b/>
                <w:bCs/>
                <w:color w:val="000000"/>
                <w:szCs w:val="28"/>
              </w:rPr>
              <w:br/>
            </w:r>
            <w:r w:rsidRPr="00E55082">
              <w:rPr>
                <w:rFonts w:eastAsia="Times New Roman" w:cs="Times New Roman"/>
                <w:b/>
                <w:bCs/>
                <w:color w:val="000000"/>
                <w:szCs w:val="28"/>
              </w:rPr>
              <w:br/>
            </w:r>
            <w:r w:rsidRPr="00E55082">
              <w:rPr>
                <w:rFonts w:eastAsia="Times New Roman" w:cs="Times New Roman"/>
                <w:b/>
                <w:bCs/>
                <w:color w:val="000000"/>
                <w:szCs w:val="28"/>
              </w:rPr>
              <w:br/>
            </w:r>
            <w:r w:rsidR="003B3887">
              <w:rPr>
                <w:rFonts w:eastAsia="Times New Roman" w:cs="Times New Roman"/>
                <w:b/>
                <w:bCs/>
                <w:color w:val="000000"/>
                <w:szCs w:val="28"/>
              </w:rPr>
              <w:t>(đã ký)</w:t>
            </w:r>
            <w:r w:rsidRPr="00E55082">
              <w:rPr>
                <w:rFonts w:eastAsia="Times New Roman" w:cs="Times New Roman"/>
                <w:b/>
                <w:bCs/>
                <w:color w:val="000000"/>
                <w:szCs w:val="28"/>
              </w:rPr>
              <w:br/>
            </w:r>
            <w:r w:rsidRPr="00E55082">
              <w:rPr>
                <w:rFonts w:eastAsia="Times New Roman" w:cs="Times New Roman"/>
                <w:b/>
                <w:bCs/>
                <w:color w:val="000000"/>
                <w:szCs w:val="28"/>
              </w:rPr>
              <w:br/>
              <w:t>Trương Tấn Sang</w:t>
            </w:r>
          </w:p>
        </w:tc>
        <w:tc>
          <w:tcPr>
            <w:tcW w:w="268" w:type="dxa"/>
            <w:tcBorders>
              <w:top w:val="nil"/>
              <w:left w:val="nil"/>
              <w:bottom w:val="nil"/>
              <w:right w:val="nil"/>
            </w:tcBorders>
          </w:tcPr>
          <w:p w:rsidR="00E55082" w:rsidRDefault="00E55082" w:rsidP="00E55082">
            <w:pPr>
              <w:spacing w:after="120" w:line="234" w:lineRule="atLeast"/>
              <w:jc w:val="center"/>
              <w:rPr>
                <w:rFonts w:eastAsia="Times New Roman" w:cs="Times New Roman"/>
                <w:color w:val="000000"/>
                <w:szCs w:val="28"/>
              </w:rPr>
            </w:pPr>
          </w:p>
        </w:tc>
      </w:tr>
    </w:tbl>
    <w:p w:rsidR="00E55082" w:rsidRPr="00E55082" w:rsidRDefault="00E55082" w:rsidP="00E55082">
      <w:pPr>
        <w:shd w:val="clear" w:color="auto" w:fill="FFFFFF"/>
        <w:spacing w:after="120" w:line="234" w:lineRule="atLeast"/>
        <w:jc w:val="center"/>
        <w:rPr>
          <w:rFonts w:eastAsia="Times New Roman" w:cs="Times New Roman"/>
          <w:color w:val="000000"/>
          <w:szCs w:val="28"/>
        </w:rPr>
      </w:pPr>
    </w:p>
    <w:p w:rsidR="00CE2E76" w:rsidRPr="00E55082" w:rsidRDefault="00CE2E76" w:rsidP="00217F32">
      <w:pPr>
        <w:jc w:val="center"/>
        <w:rPr>
          <w:rFonts w:cs="Times New Roman"/>
          <w:szCs w:val="28"/>
        </w:rPr>
      </w:pPr>
      <w:bookmarkStart w:id="0" w:name="_GoBack"/>
      <w:bookmarkEnd w:id="0"/>
    </w:p>
    <w:sectPr w:rsidR="00CE2E76" w:rsidRPr="00E55082" w:rsidSect="00207103">
      <w:footerReference w:type="default" r:id="rId7"/>
      <w:pgSz w:w="12240" w:h="15840"/>
      <w:pgMar w:top="1134" w:right="851"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3A85" w:rsidRDefault="00363A85" w:rsidP="00217F32">
      <w:pPr>
        <w:spacing w:after="0" w:line="240" w:lineRule="auto"/>
      </w:pPr>
      <w:r>
        <w:separator/>
      </w:r>
    </w:p>
  </w:endnote>
  <w:endnote w:type="continuationSeparator" w:id="0">
    <w:p w:rsidR="00363A85" w:rsidRDefault="00363A85" w:rsidP="00217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4983971"/>
      <w:docPartObj>
        <w:docPartGallery w:val="Page Numbers (Bottom of Page)"/>
        <w:docPartUnique/>
      </w:docPartObj>
    </w:sdtPr>
    <w:sdtEndPr>
      <w:rPr>
        <w:noProof/>
      </w:rPr>
    </w:sdtEndPr>
    <w:sdtContent>
      <w:p w:rsidR="00217F32" w:rsidRDefault="00217F32">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217F32" w:rsidRDefault="00217F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3A85" w:rsidRDefault="00363A85" w:rsidP="00217F32">
      <w:pPr>
        <w:spacing w:after="0" w:line="240" w:lineRule="auto"/>
      </w:pPr>
      <w:r>
        <w:separator/>
      </w:r>
    </w:p>
  </w:footnote>
  <w:footnote w:type="continuationSeparator" w:id="0">
    <w:p w:rsidR="00363A85" w:rsidRDefault="00363A85" w:rsidP="00217F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E55082"/>
    <w:rsid w:val="00207103"/>
    <w:rsid w:val="00217F32"/>
    <w:rsid w:val="00363A85"/>
    <w:rsid w:val="003B3887"/>
    <w:rsid w:val="0061558F"/>
    <w:rsid w:val="00AD1D5D"/>
    <w:rsid w:val="00C145CF"/>
    <w:rsid w:val="00CE2E76"/>
    <w:rsid w:val="00E55082"/>
    <w:rsid w:val="00E7751F"/>
    <w:rsid w:val="00F878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2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55082"/>
    <w:pPr>
      <w:spacing w:before="100" w:beforeAutospacing="1" w:after="100" w:afterAutospacing="1" w:line="240" w:lineRule="auto"/>
    </w:pPr>
    <w:rPr>
      <w:rFonts w:eastAsia="Times New Roman" w:cs="Times New Roman"/>
      <w:sz w:val="24"/>
      <w:szCs w:val="24"/>
    </w:rPr>
  </w:style>
  <w:style w:type="table" w:styleId="TableGrid">
    <w:name w:val="Table Grid"/>
    <w:basedOn w:val="TableNormal"/>
    <w:uiPriority w:val="59"/>
    <w:rsid w:val="00E5508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217F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7F32"/>
  </w:style>
  <w:style w:type="paragraph" w:styleId="Footer">
    <w:name w:val="footer"/>
    <w:basedOn w:val="Normal"/>
    <w:link w:val="FooterChar"/>
    <w:uiPriority w:val="99"/>
    <w:unhideWhenUsed/>
    <w:rsid w:val="00217F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7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987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41F191A-62EA-4EBC-AA92-3E7ED209C541}"/>
</file>

<file path=customXml/itemProps2.xml><?xml version="1.0" encoding="utf-8"?>
<ds:datastoreItem xmlns:ds="http://schemas.openxmlformats.org/officeDocument/2006/customXml" ds:itemID="{0D69119C-91BF-41B5-9BAE-5CDDC444FF52}"/>
</file>

<file path=customXml/itemProps3.xml><?xml version="1.0" encoding="utf-8"?>
<ds:datastoreItem xmlns:ds="http://schemas.openxmlformats.org/officeDocument/2006/customXml" ds:itemID="{25281522-F013-4AD3-8365-2EEE055C2654}"/>
</file>

<file path=docProps/app.xml><?xml version="1.0" encoding="utf-8"?>
<Properties xmlns="http://schemas.openxmlformats.org/officeDocument/2006/extended-properties" xmlns:vt="http://schemas.openxmlformats.org/officeDocument/2006/docPropsVTypes">
  <Template>Normal</Template>
  <TotalTime>6</TotalTime>
  <Pages>3</Pages>
  <Words>1030</Words>
  <Characters>5872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Ha</cp:lastModifiedBy>
  <cp:revision>5</cp:revision>
  <dcterms:created xsi:type="dcterms:W3CDTF">2017-08-09T03:38:00Z</dcterms:created>
  <dcterms:modified xsi:type="dcterms:W3CDTF">2017-08-11T03:46:00Z</dcterms:modified>
</cp:coreProperties>
</file>